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0D" w:rsidRDefault="00F1110D" w:rsidP="00F1110D">
      <w:pPr>
        <w:keepNext/>
        <w:ind w:left="851" w:hanging="360"/>
        <w:jc w:val="both"/>
        <w:rPr>
          <w:u w:val="single"/>
        </w:rPr>
      </w:pPr>
      <w:r>
        <w:rPr>
          <w:u w:val="single"/>
        </w:rPr>
        <w:t xml:space="preserve">f) Parametri di </w:t>
      </w:r>
      <w:proofErr w:type="spellStart"/>
      <w:r>
        <w:rPr>
          <w:u w:val="single"/>
        </w:rPr>
        <w:t>deficitarietà</w:t>
      </w:r>
      <w:proofErr w:type="spellEnd"/>
      <w:r>
        <w:rPr>
          <w:u w:val="single"/>
        </w:rPr>
        <w:t xml:space="preserve"> strutturale</w:t>
      </w:r>
    </w:p>
    <w:p w:rsidR="00F1110D" w:rsidRDefault="00F1110D" w:rsidP="00F1110D">
      <w:pPr>
        <w:keepNext/>
        <w:ind w:left="851" w:hanging="360"/>
        <w:jc w:val="both"/>
        <w:rPr>
          <w:u w:val="single"/>
        </w:rPr>
      </w:pPr>
    </w:p>
    <w:p w:rsidR="00F1110D" w:rsidRDefault="00F1110D" w:rsidP="00F1110D">
      <w:pPr>
        <w:jc w:val="both"/>
      </w:pPr>
      <w:r>
        <w:t xml:space="preserve">I parametri di </w:t>
      </w:r>
      <w:proofErr w:type="spellStart"/>
      <w:r>
        <w:t>deficitarietà</w:t>
      </w:r>
      <w:proofErr w:type="spellEnd"/>
      <w:r>
        <w:t xml:space="preserve"> presi in considerazione sono quelli definiti con decreto del Ministero dell'interno 18 febbraio 2013 e pubblicati in G.U. n. 55 del 6 marzo dello stesso anno. In particolare, i parametri prendono in considerazione: 1) l'eventuale disavanzo di amministrazione; 2) i residui attivi dei titoli 1° e 3° di nuova formazione; 3) i residui attivi dei titoli 1° e 3° provenienti dalla gestione residui; 4) il volume dei residui passivi; 5) l'eventuale presenza di procedimenti di esecuzione forzata; 6) l'entità delle spese di personale rispetto alle entrate correnti; 7) l'entità di mutui e prestiti rispetto alle entrate correnti; 8) l'eventuale presenza di debiti fuori bilancio 9) l'eventuale presenza di anticipazioni di tesoreria non rimborsate alla fine dell'anno; 10) l'eventuale esigenza di far fronte a squilibri di bilancio. La presenza, e l'entità, di questi fattori di rischio danno un'immagine concreta e veritiera della solidità del bilancio dell'Ente. Se sono presenti più di tre fattori di rischio, l'Ente è da considerarsi “strutturalmente deficitario”, o sono previsti obblighi di legge per far fronte ai potenziali squilibri di bilancio. Nella tabella sotto rappresentata è evidenziata la situazione dell'Ente e l'evoluzione dei parametri nel corso del tempo. Un solo parametro è risultato positivo, quello relativo all'incidenza del debito rispetto alle entrate correnti. Le cause sono da riscontrare nella politica di indebitamento dei precedenti esercizi. Tuttavia, da alcuni anni l'Ente ha ridotto il ricorso all'accensione di mutui, prevedendo altre risorse per l'effettuazione degli investimenti. Ciò ha determinato una riduzione del parametro in parola, che dovrebbe rientrare nella normalità nei </w:t>
      </w:r>
      <w:proofErr w:type="spellStart"/>
      <w:r>
        <w:t>prossini</w:t>
      </w:r>
      <w:proofErr w:type="spellEnd"/>
      <w:r>
        <w:t xml:space="preserve"> due/tre esercizi. In considerazione di ciò, l'Ente evidenzia una buona posizione in riferimento agli esposti parametri di </w:t>
      </w:r>
      <w:proofErr w:type="spellStart"/>
      <w:r>
        <w:t>deficitarietà</w:t>
      </w:r>
      <w:proofErr w:type="spellEnd"/>
      <w:r>
        <w:t>. Le previsioni di bilancio consentono inoltre di stimare un mantenimento dei livelli degli altri parametri.</w:t>
      </w:r>
    </w:p>
    <w:tbl>
      <w:tblPr>
        <w:tblW w:w="96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3621"/>
        <w:gridCol w:w="873"/>
        <w:gridCol w:w="873"/>
        <w:gridCol w:w="873"/>
        <w:gridCol w:w="875"/>
        <w:gridCol w:w="875"/>
      </w:tblGrid>
      <w:tr w:rsidR="00F1110D" w:rsidTr="00F1110D">
        <w:tc>
          <w:tcPr>
            <w:tcW w:w="1634"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keepNext/>
              <w:jc w:val="center"/>
              <w:rPr>
                <w:rFonts w:ascii="Book Antiqua" w:eastAsia="Times New Roman" w:hAnsi="Book Antiqua" w:cs="Book Antiqua"/>
                <w:b/>
                <w:bCs/>
                <w:sz w:val="16"/>
                <w:szCs w:val="16"/>
              </w:rPr>
            </w:pPr>
          </w:p>
          <w:p w:rsidR="00F1110D" w:rsidRDefault="00F1110D">
            <w:pPr>
              <w:keepNext/>
              <w:jc w:val="center"/>
              <w:rPr>
                <w:rFonts w:ascii="Book Antiqua" w:hAnsi="Book Antiqua" w:cs="Book Antiqua"/>
                <w:b/>
                <w:bCs/>
                <w:sz w:val="16"/>
                <w:szCs w:val="16"/>
              </w:rPr>
            </w:pPr>
            <w:r>
              <w:rPr>
                <w:rFonts w:ascii="Book Antiqua" w:hAnsi="Book Antiqua" w:cs="Book Antiqua"/>
                <w:b/>
                <w:bCs/>
                <w:sz w:val="16"/>
                <w:szCs w:val="16"/>
              </w:rPr>
              <w:t>PARAMETRO</w:t>
            </w:r>
          </w:p>
        </w:tc>
        <w:tc>
          <w:tcPr>
            <w:tcW w:w="3621"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keepNext/>
              <w:jc w:val="center"/>
              <w:rPr>
                <w:rFonts w:ascii="Book Antiqua" w:eastAsia="Times New Roman" w:hAnsi="Book Antiqua" w:cs="Book Antiqua"/>
                <w:b/>
                <w:bCs/>
                <w:sz w:val="16"/>
                <w:szCs w:val="16"/>
              </w:rPr>
            </w:pPr>
          </w:p>
          <w:p w:rsidR="00F1110D" w:rsidRDefault="00F1110D">
            <w:pPr>
              <w:keepNext/>
              <w:jc w:val="center"/>
              <w:rPr>
                <w:rFonts w:ascii="Book Antiqua" w:hAnsi="Book Antiqua" w:cs="Book Antiqua"/>
                <w:b/>
                <w:bCs/>
                <w:sz w:val="16"/>
                <w:szCs w:val="16"/>
              </w:rPr>
            </w:pPr>
            <w:r>
              <w:rPr>
                <w:rFonts w:ascii="Book Antiqua" w:hAnsi="Book Antiqua" w:cs="Book Antiqua"/>
                <w:b/>
                <w:bCs/>
                <w:sz w:val="16"/>
                <w:szCs w:val="16"/>
              </w:rPr>
              <w:t>DESCRIZIONE PARAMETRO</w:t>
            </w:r>
          </w:p>
        </w:tc>
        <w:tc>
          <w:tcPr>
            <w:tcW w:w="873"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jc w:val="center"/>
              <w:rPr>
                <w:rFonts w:ascii="Book Antiqua" w:eastAsia="Times New Roman" w:hAnsi="Book Antiqua" w:cs="Book Antiqua"/>
                <w:b/>
                <w:bCs/>
                <w:sz w:val="16"/>
                <w:szCs w:val="16"/>
              </w:rPr>
            </w:pPr>
          </w:p>
          <w:p w:rsidR="00F1110D" w:rsidRDefault="00F1110D">
            <w:pPr>
              <w:jc w:val="center"/>
              <w:rPr>
                <w:rFonts w:ascii="Book Antiqua" w:hAnsi="Book Antiqua" w:cs="Book Antiqua"/>
                <w:b/>
                <w:bCs/>
                <w:sz w:val="16"/>
                <w:szCs w:val="16"/>
              </w:rPr>
            </w:pPr>
            <w:r>
              <w:rPr>
                <w:rFonts w:ascii="Book Antiqua" w:hAnsi="Book Antiqua" w:cs="Book Antiqua"/>
                <w:b/>
                <w:bCs/>
                <w:sz w:val="16"/>
                <w:szCs w:val="16"/>
              </w:rPr>
              <w:t>2017</w:t>
            </w:r>
          </w:p>
        </w:tc>
        <w:tc>
          <w:tcPr>
            <w:tcW w:w="873"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jc w:val="center"/>
              <w:rPr>
                <w:rFonts w:ascii="Book Antiqua" w:eastAsia="Times New Roman" w:hAnsi="Book Antiqua" w:cs="Book Antiqua"/>
                <w:b/>
                <w:bCs/>
                <w:sz w:val="16"/>
                <w:szCs w:val="16"/>
              </w:rPr>
            </w:pPr>
          </w:p>
          <w:p w:rsidR="00F1110D" w:rsidRDefault="00F1110D">
            <w:pPr>
              <w:jc w:val="center"/>
              <w:rPr>
                <w:rFonts w:ascii="Book Antiqua" w:hAnsi="Book Antiqua" w:cs="Book Antiqua"/>
                <w:b/>
                <w:bCs/>
                <w:sz w:val="16"/>
                <w:szCs w:val="16"/>
              </w:rPr>
            </w:pPr>
            <w:r>
              <w:rPr>
                <w:rFonts w:ascii="Book Antiqua" w:hAnsi="Book Antiqua" w:cs="Book Antiqua"/>
                <w:b/>
                <w:bCs/>
                <w:sz w:val="16"/>
                <w:szCs w:val="16"/>
              </w:rPr>
              <w:t>2016</w:t>
            </w:r>
          </w:p>
        </w:tc>
        <w:tc>
          <w:tcPr>
            <w:tcW w:w="873"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jc w:val="center"/>
              <w:rPr>
                <w:rFonts w:ascii="Book Antiqua" w:eastAsia="Times New Roman" w:hAnsi="Book Antiqua" w:cs="Book Antiqua"/>
                <w:b/>
                <w:bCs/>
                <w:sz w:val="16"/>
                <w:szCs w:val="16"/>
              </w:rPr>
            </w:pPr>
          </w:p>
          <w:p w:rsidR="00F1110D" w:rsidRDefault="00F1110D">
            <w:pPr>
              <w:jc w:val="center"/>
              <w:rPr>
                <w:rFonts w:ascii="Book Antiqua" w:hAnsi="Book Antiqua" w:cs="Book Antiqua"/>
                <w:b/>
                <w:bCs/>
                <w:sz w:val="16"/>
                <w:szCs w:val="16"/>
              </w:rPr>
            </w:pPr>
            <w:r>
              <w:rPr>
                <w:rFonts w:ascii="Book Antiqua" w:hAnsi="Book Antiqua" w:cs="Book Antiqua"/>
                <w:b/>
                <w:bCs/>
                <w:sz w:val="16"/>
                <w:szCs w:val="16"/>
              </w:rPr>
              <w:t>2015</w:t>
            </w:r>
          </w:p>
        </w:tc>
        <w:tc>
          <w:tcPr>
            <w:tcW w:w="875"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jc w:val="center"/>
              <w:rPr>
                <w:rFonts w:ascii="Book Antiqua" w:eastAsia="Times New Roman" w:hAnsi="Book Antiqua" w:cs="Book Antiqua"/>
                <w:b/>
                <w:bCs/>
                <w:sz w:val="16"/>
                <w:szCs w:val="16"/>
              </w:rPr>
            </w:pPr>
          </w:p>
          <w:p w:rsidR="00F1110D" w:rsidRDefault="00F1110D">
            <w:pPr>
              <w:jc w:val="center"/>
              <w:rPr>
                <w:rFonts w:ascii="Book Antiqua" w:hAnsi="Book Antiqua" w:cs="Book Antiqua"/>
                <w:b/>
                <w:bCs/>
                <w:sz w:val="16"/>
                <w:szCs w:val="16"/>
              </w:rPr>
            </w:pPr>
            <w:r>
              <w:rPr>
                <w:rFonts w:ascii="Book Antiqua" w:hAnsi="Book Antiqua" w:cs="Book Antiqua"/>
                <w:b/>
                <w:bCs/>
                <w:sz w:val="16"/>
                <w:szCs w:val="16"/>
              </w:rPr>
              <w:t>2014</w:t>
            </w:r>
          </w:p>
        </w:tc>
        <w:tc>
          <w:tcPr>
            <w:tcW w:w="875" w:type="dxa"/>
            <w:tcBorders>
              <w:top w:val="single" w:sz="4" w:space="0" w:color="auto"/>
              <w:left w:val="single" w:sz="4" w:space="0" w:color="auto"/>
              <w:bottom w:val="single" w:sz="4" w:space="0" w:color="auto"/>
              <w:right w:val="single" w:sz="4" w:space="0" w:color="auto"/>
            </w:tcBorders>
            <w:shd w:val="clear" w:color="auto" w:fill="F2F2F2"/>
          </w:tcPr>
          <w:p w:rsidR="00F1110D" w:rsidRDefault="00F1110D">
            <w:pPr>
              <w:jc w:val="center"/>
              <w:rPr>
                <w:rFonts w:ascii="Book Antiqua" w:eastAsia="Times New Roman" w:hAnsi="Book Antiqua" w:cs="Book Antiqua"/>
                <w:b/>
                <w:bCs/>
                <w:sz w:val="16"/>
                <w:szCs w:val="16"/>
              </w:rPr>
            </w:pPr>
          </w:p>
          <w:p w:rsidR="00F1110D" w:rsidRDefault="00F1110D">
            <w:pPr>
              <w:jc w:val="center"/>
              <w:rPr>
                <w:rFonts w:ascii="Book Antiqua" w:hAnsi="Book Antiqua" w:cs="Book Antiqua"/>
                <w:b/>
                <w:bCs/>
                <w:sz w:val="16"/>
                <w:szCs w:val="16"/>
              </w:rPr>
            </w:pPr>
            <w:r>
              <w:rPr>
                <w:rFonts w:ascii="Book Antiqua" w:hAnsi="Book Antiqua" w:cs="Book Antiqua"/>
                <w:b/>
                <w:bCs/>
                <w:sz w:val="16"/>
                <w:szCs w:val="16"/>
              </w:rPr>
              <w:t>2013</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keepNext/>
              <w:jc w:val="both"/>
              <w:rPr>
                <w:rFonts w:ascii="Book Antiqua" w:hAnsi="Book Antiqua" w:cs="Book Antiqua"/>
                <w:sz w:val="16"/>
                <w:szCs w:val="16"/>
              </w:rPr>
            </w:pPr>
            <w:r>
              <w:rPr>
                <w:rFonts w:ascii="Book Antiqua" w:hAnsi="Book Antiqua" w:cs="Book Antiqua"/>
                <w:sz w:val="16"/>
                <w:szCs w:val="16"/>
              </w:rPr>
              <w:t>1</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keepNext/>
              <w:rPr>
                <w:rFonts w:ascii="Book Antiqua" w:hAnsi="Book Antiqua" w:cs="Book Antiqua"/>
                <w:sz w:val="16"/>
                <w:szCs w:val="16"/>
              </w:rPr>
            </w:pPr>
            <w:r>
              <w:rPr>
                <w:rFonts w:ascii="Book Antiqua" w:hAnsi="Book Antiqua" w:cs="Book Antiqua"/>
                <w:sz w:val="16"/>
                <w:szCs w:val="16"/>
              </w:rPr>
              <w:t>Valore negativo del risultato contabile di gestione superiore in termini di valore assoluto al 5 per cento rispetto alle entrate correnti (a tali fini al risultato contabile si aggiunge l'avanzo di amministrazione utilizzato per le spese di investimento);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2</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 xml:space="preserve">Volume dei residui attivi di nuova formazione provenienti dalla gestione di competenza e relativi ai titoli I e III, con l'esclusione del Fondo sperimentale di riequilibrio (dal consuntivo 2012. Fino al 2011: con l'esclusione dell'addizionale </w:t>
            </w:r>
            <w:proofErr w:type="spellStart"/>
            <w:r>
              <w:rPr>
                <w:rFonts w:ascii="Book Antiqua" w:hAnsi="Book Antiqua" w:cs="Book Antiqua"/>
                <w:sz w:val="16"/>
                <w:szCs w:val="16"/>
              </w:rPr>
              <w:t>lrpef</w:t>
            </w:r>
            <w:proofErr w:type="spellEnd"/>
            <w:r>
              <w:rPr>
                <w:rFonts w:ascii="Book Antiqua" w:hAnsi="Book Antiqua" w:cs="Book Antiqua"/>
                <w:sz w:val="16"/>
                <w:szCs w:val="16"/>
              </w:rPr>
              <w:t xml:space="preserve">), superiori al 42 per cento dei valori di accertamento delle entrate dei medesimi titoli I e III esclusi i valori del Fondo sperimentale di riequilibrio (dal consuntivo 2012. Fino al 2011: con esclusione dell'addizionale </w:t>
            </w:r>
            <w:proofErr w:type="spellStart"/>
            <w:r>
              <w:rPr>
                <w:rFonts w:ascii="Book Antiqua" w:hAnsi="Book Antiqua" w:cs="Book Antiqua"/>
                <w:sz w:val="16"/>
                <w:szCs w:val="16"/>
              </w:rPr>
              <w:t>lrpef</w:t>
            </w:r>
            <w:proofErr w:type="spellEnd"/>
            <w:r>
              <w:rPr>
                <w:rFonts w:ascii="Book Antiqua" w:hAnsi="Book Antiqua" w:cs="Book Antiqua"/>
                <w:sz w:val="16"/>
                <w:szCs w:val="16"/>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N0</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3</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 xml:space="preserve">Ammontare dei residui attivi (provenienti dalla gestione residui) di cui al titolo I e al titolo III (dal rendiconto 2012: escluso Fondo Sperimentale Riequilibrio) superiore al 65 per cento  rapportato agli accertamenti della gestione di competenza delle entrate dei medesimi titoli I e III (dal rendiconto 2012: </w:t>
            </w:r>
            <w:r>
              <w:rPr>
                <w:rFonts w:ascii="Book Antiqua" w:hAnsi="Book Antiqua" w:cs="Book Antiqua"/>
                <w:sz w:val="16"/>
                <w:szCs w:val="16"/>
              </w:rPr>
              <w:lastRenderedPageBreak/>
              <w:t>escluso Fondo sperimentale di riequilibrio);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lastRenderedPageBreak/>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lastRenderedPageBreak/>
              <w:t>4</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Volume dei residui passivi complessivi provenienti dal titolo I superiore al 40 per cento degli impegni della medesima spesa corrente;</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SI</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5</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Esistenza di procedimenti di esecuzione forzata superiore allo 0,5 per cento delle spese correnti;</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6</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 xml:space="preserve">Volume complessivo delle spese di personale a vario titolo rapportato al volume complessivo delle entrate correnti desumibili dai titoli I, II e III superiore al 40 per cento per i comuni inferiori a 5.000 abitanti, superiore al 39 per cento per i comuni da </w:t>
            </w:r>
            <w:smartTag w:uri="urn:schemas-microsoft-com:office:smarttags" w:element="metricconverter">
              <w:smartTagPr>
                <w:attr w:name="ProductID" w:val="5.000 a"/>
              </w:smartTagPr>
              <w:r>
                <w:rPr>
                  <w:rFonts w:ascii="Book Antiqua" w:hAnsi="Book Antiqua" w:cs="Book Antiqua"/>
                  <w:sz w:val="16"/>
                  <w:szCs w:val="16"/>
                </w:rPr>
                <w:t>5.000 a</w:t>
              </w:r>
            </w:smartTag>
            <w:r>
              <w:rPr>
                <w:rFonts w:ascii="Book Antiqua" w:hAnsi="Book Antiqua" w:cs="Book Antiqua"/>
                <w:sz w:val="16"/>
                <w:szCs w:val="16"/>
              </w:rPr>
              <w:t xml:space="preserve"> 29.999 abitanti e superiore al 38 per cento per i comuni oltre i 29.999 abitanti (al netto dei contributi regionali nonché di altri enti pubblici finalizzati a finanziare spese di personale);</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7</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 xml:space="preserve">Consistenza dei debiti di finanziamento non assistiti da contribuzioni superiore al 150 per cento rispetto alle entrate correnti per gli enti che presentano un risultato contabile di gestione positivo e superiore al 120 per cento per gli enti che presentano un risultato contabile di gestione negativo (fermo restando il rispetto del limite di indebitamento di cui all'art. 204 del </w:t>
            </w:r>
            <w:proofErr w:type="spellStart"/>
            <w:r>
              <w:rPr>
                <w:rFonts w:ascii="Book Antiqua" w:hAnsi="Book Antiqua" w:cs="Book Antiqua"/>
                <w:sz w:val="16"/>
                <w:szCs w:val="16"/>
              </w:rPr>
              <w:t>tuel</w:t>
            </w:r>
            <w:proofErr w:type="spellEnd"/>
            <w:r>
              <w:rPr>
                <w:rFonts w:ascii="Book Antiqua" w:hAnsi="Book Antiqua" w:cs="Book Antiqua"/>
                <w:sz w:val="16"/>
                <w:szCs w:val="16"/>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8</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Consistenza dei debiti fuori bilancio formatisi nel corso dell'esercizio superiore all'1 per cento rispetto ai valori di accertamento delle entrate correnti (l'indice si considera negativo ove tale soglia venga superata in tutti gli ultimi tre anni);</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9</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Eventuale esistenza al 31 dicembre di anticipazioni di tesoreria non rimborsate superiori al 5 per cento rispetto alle entrate correnti;</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r w:rsidR="00F1110D" w:rsidTr="00F1110D">
        <w:tc>
          <w:tcPr>
            <w:tcW w:w="1634" w:type="dxa"/>
            <w:tcBorders>
              <w:top w:val="single" w:sz="4" w:space="0" w:color="auto"/>
              <w:left w:val="single" w:sz="4" w:space="0" w:color="auto"/>
              <w:bottom w:val="single" w:sz="4" w:space="0" w:color="auto"/>
              <w:right w:val="single" w:sz="4" w:space="0" w:color="auto"/>
            </w:tcBorders>
            <w:hideMark/>
          </w:tcPr>
          <w:p w:rsidR="00F1110D" w:rsidRDefault="00F1110D">
            <w:pPr>
              <w:jc w:val="both"/>
              <w:rPr>
                <w:rFonts w:ascii="Book Antiqua" w:hAnsi="Book Antiqua" w:cs="Book Antiqua"/>
                <w:sz w:val="16"/>
                <w:szCs w:val="16"/>
              </w:rPr>
            </w:pPr>
            <w:r>
              <w:rPr>
                <w:rFonts w:ascii="Book Antiqua" w:hAnsi="Book Antiqua" w:cs="Book Antiqua"/>
                <w:sz w:val="16"/>
                <w:szCs w:val="16"/>
              </w:rPr>
              <w:t>10</w:t>
            </w:r>
          </w:p>
        </w:tc>
        <w:tc>
          <w:tcPr>
            <w:tcW w:w="3621" w:type="dxa"/>
            <w:tcBorders>
              <w:top w:val="single" w:sz="4" w:space="0" w:color="auto"/>
              <w:left w:val="single" w:sz="4" w:space="0" w:color="auto"/>
              <w:bottom w:val="single" w:sz="4" w:space="0" w:color="auto"/>
              <w:right w:val="single" w:sz="4" w:space="0" w:color="auto"/>
            </w:tcBorders>
            <w:hideMark/>
          </w:tcPr>
          <w:p w:rsidR="00F1110D" w:rsidRDefault="00F1110D">
            <w:pPr>
              <w:rPr>
                <w:rFonts w:ascii="Book Antiqua" w:hAnsi="Book Antiqua" w:cs="Book Antiqua"/>
                <w:sz w:val="16"/>
                <w:szCs w:val="16"/>
              </w:rPr>
            </w:pPr>
            <w:r>
              <w:rPr>
                <w:rFonts w:ascii="Book Antiqua" w:hAnsi="Book Antiqua" w:cs="Book Antiqua"/>
                <w:sz w:val="16"/>
                <w:szCs w:val="16"/>
              </w:rPr>
              <w:t xml:space="preserve">Ripiano squilibri in sede di provvedimento di salvaguardia di cui all'art. 193 del </w:t>
            </w:r>
            <w:proofErr w:type="spellStart"/>
            <w:r>
              <w:rPr>
                <w:rFonts w:ascii="Book Antiqua" w:hAnsi="Book Antiqua" w:cs="Book Antiqua"/>
                <w:sz w:val="16"/>
                <w:szCs w:val="16"/>
              </w:rPr>
              <w:t>tu</w:t>
            </w:r>
            <w:bookmarkStart w:id="0" w:name="_GoBack"/>
            <w:bookmarkEnd w:id="0"/>
            <w:r>
              <w:rPr>
                <w:rFonts w:ascii="Book Antiqua" w:hAnsi="Book Antiqua" w:cs="Book Antiqua"/>
                <w:sz w:val="16"/>
                <w:szCs w:val="16"/>
              </w:rPr>
              <w:t>oel</w:t>
            </w:r>
            <w:proofErr w:type="spellEnd"/>
            <w:r>
              <w:rPr>
                <w:rFonts w:ascii="Book Antiqua" w:hAnsi="Book Antiqua" w:cs="Book Antiqua"/>
                <w:sz w:val="16"/>
                <w:szCs w:val="16"/>
              </w:rPr>
              <w:t xml:space="preserve"> riferito allo stesso esercizio con misure di alienazione di beni patrimoniali e/o avanzo di amministrazione superiore al 5% dei valori della spesa corrente.</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3"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c>
          <w:tcPr>
            <w:tcW w:w="875" w:type="dxa"/>
            <w:tcBorders>
              <w:top w:val="single" w:sz="4" w:space="0" w:color="auto"/>
              <w:left w:val="single" w:sz="4" w:space="0" w:color="auto"/>
              <w:bottom w:val="single" w:sz="4" w:space="0" w:color="auto"/>
              <w:right w:val="single" w:sz="4" w:space="0" w:color="auto"/>
            </w:tcBorders>
            <w:vAlign w:val="center"/>
            <w:hideMark/>
          </w:tcPr>
          <w:p w:rsidR="00F1110D" w:rsidRDefault="00F1110D">
            <w:pPr>
              <w:jc w:val="center"/>
              <w:rPr>
                <w:rFonts w:ascii="Book Antiqua" w:hAnsi="Book Antiqua" w:cs="Book Antiqua"/>
                <w:sz w:val="16"/>
                <w:szCs w:val="16"/>
              </w:rPr>
            </w:pPr>
            <w:r>
              <w:rPr>
                <w:rFonts w:ascii="Book Antiqua" w:hAnsi="Book Antiqua" w:cs="Book Antiqua"/>
                <w:sz w:val="16"/>
                <w:szCs w:val="16"/>
              </w:rPr>
              <w:t>NO</w:t>
            </w:r>
          </w:p>
        </w:tc>
      </w:tr>
    </w:tbl>
    <w:p w:rsidR="00F1110D" w:rsidRDefault="00F1110D" w:rsidP="00F1110D">
      <w:pPr>
        <w:jc w:val="both"/>
        <w:rPr>
          <w:rFonts w:ascii="Arial" w:hAnsi="Arial" w:cs="Arial"/>
        </w:rPr>
      </w:pPr>
    </w:p>
    <w:p w:rsidR="00F1110D" w:rsidRDefault="00F1110D" w:rsidP="00F1110D">
      <w:pPr>
        <w:jc w:val="both"/>
        <w:rPr>
          <w:rFonts w:ascii="Arial" w:hAnsi="Arial" w:cs="Arial"/>
        </w:rPr>
      </w:pPr>
    </w:p>
    <w:p w:rsidR="009D021B" w:rsidRDefault="009D021B"/>
    <w:sectPr w:rsidR="009D02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1110D"/>
    <w:rsid w:val="009D021B"/>
    <w:rsid w:val="00F111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2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RAGIONERIA</dc:creator>
  <cp:keywords/>
  <dc:description/>
  <cp:lastModifiedBy>UFF RAGIONERIA</cp:lastModifiedBy>
  <cp:revision>2</cp:revision>
  <dcterms:created xsi:type="dcterms:W3CDTF">2019-03-27T10:31:00Z</dcterms:created>
  <dcterms:modified xsi:type="dcterms:W3CDTF">2019-03-27T10:32:00Z</dcterms:modified>
</cp:coreProperties>
</file>